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5192F" w14:textId="704BB0A3" w:rsidR="009A5E61" w:rsidRPr="00BF638A" w:rsidRDefault="000E0274" w:rsidP="00BF638A">
      <w:pPr>
        <w:tabs>
          <w:tab w:val="left" w:pos="3521"/>
        </w:tabs>
        <w:jc w:val="center"/>
        <w:rPr>
          <w:rFonts w:ascii="Helvetica" w:hAnsi="Helvetica"/>
          <w:color w:val="000000" w:themeColor="text1"/>
          <w:sz w:val="56"/>
          <w:szCs w:val="56"/>
        </w:rPr>
      </w:pPr>
      <w:r>
        <w:rPr>
          <w:noProof/>
        </w:rPr>
        <w:drawing>
          <wp:anchor distT="0" distB="0" distL="114300" distR="114300" simplePos="0" relativeHeight="251659264" behindDoc="0" locked="0" layoutInCell="1" allowOverlap="1" wp14:anchorId="22C440CC" wp14:editId="7FD04C99">
            <wp:simplePos x="0" y="0"/>
            <wp:positionH relativeFrom="margin">
              <wp:align>center</wp:align>
            </wp:positionH>
            <wp:positionV relativeFrom="page">
              <wp:posOffset>-114300</wp:posOffset>
            </wp:positionV>
            <wp:extent cx="736268" cy="1409065"/>
            <wp:effectExtent l="0" t="0" r="6985" b="635"/>
            <wp:wrapNone/>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6268" cy="1409065"/>
                    </a:xfrm>
                    <a:prstGeom prst="rect">
                      <a:avLst/>
                    </a:prstGeom>
                  </pic:spPr>
                </pic:pic>
              </a:graphicData>
            </a:graphic>
            <wp14:sizeRelH relativeFrom="margin">
              <wp14:pctWidth>0</wp14:pctWidth>
            </wp14:sizeRelH>
            <wp14:sizeRelV relativeFrom="margin">
              <wp14:pctHeight>0</wp14:pctHeight>
            </wp14:sizeRelV>
          </wp:anchor>
        </w:drawing>
      </w:r>
    </w:p>
    <w:p w14:paraId="38040886" w14:textId="5FD0B5C6" w:rsidR="009A5E61" w:rsidRPr="00BF638A" w:rsidRDefault="009746A4" w:rsidP="00BF638A">
      <w:pPr>
        <w:pStyle w:val="3Policytitle"/>
        <w:jc w:val="center"/>
        <w:rPr>
          <w:rFonts w:ascii="Helvetica" w:hAnsi="Helvetica"/>
          <w:color w:val="000000" w:themeColor="text1"/>
          <w:sz w:val="56"/>
          <w:szCs w:val="56"/>
          <w:lang w:val="en-GB"/>
        </w:rPr>
      </w:pPr>
      <w:r w:rsidRPr="00BF638A">
        <w:rPr>
          <w:rFonts w:ascii="Helvetica" w:hAnsi="Helvetica"/>
          <w:color w:val="000000" w:themeColor="text1"/>
          <w:sz w:val="56"/>
          <w:szCs w:val="56"/>
          <w:lang w:val="en-GB"/>
        </w:rPr>
        <w:t>Whistleblowing</w:t>
      </w:r>
    </w:p>
    <w:p w14:paraId="47AE3048" w14:textId="25695A9C" w:rsidR="009A5E61" w:rsidRPr="000E0274" w:rsidRDefault="009A5E61" w:rsidP="000E0274">
      <w:pPr>
        <w:pStyle w:val="6Abstract"/>
        <w:jc w:val="center"/>
        <w:rPr>
          <w:rFonts w:ascii="Helvetica" w:hAnsi="Helvetica"/>
          <w:color w:val="000000" w:themeColor="text1"/>
          <w:sz w:val="56"/>
          <w:szCs w:val="56"/>
          <w:lang w:val="en-GB"/>
        </w:rPr>
      </w:pPr>
      <w:r w:rsidRPr="00BF638A">
        <w:rPr>
          <w:rFonts w:ascii="Helvetica" w:hAnsi="Helvetica"/>
          <w:color w:val="000000" w:themeColor="text1"/>
          <w:sz w:val="56"/>
          <w:szCs w:val="56"/>
          <w:lang w:val="en-GB"/>
        </w:rPr>
        <w:t xml:space="preserve">The Old School </w:t>
      </w:r>
      <w:proofErr w:type="spellStart"/>
      <w:r w:rsidRPr="00BF638A">
        <w:rPr>
          <w:rFonts w:ascii="Helvetica" w:hAnsi="Helvetica"/>
          <w:color w:val="000000" w:themeColor="text1"/>
          <w:sz w:val="56"/>
          <w:szCs w:val="56"/>
          <w:lang w:val="en-GB"/>
        </w:rPr>
        <w:t>Henstead</w:t>
      </w:r>
      <w:proofErr w:type="spellEnd"/>
    </w:p>
    <w:p w14:paraId="6EA4F9B7" w14:textId="7D71B711" w:rsidR="009A5E61" w:rsidRPr="00BF638A" w:rsidRDefault="009A5E61" w:rsidP="000E0274">
      <w:pPr>
        <w:jc w:val="center"/>
        <w:rPr>
          <w:rFonts w:ascii="Helvetica" w:hAnsi="Helvetica"/>
          <w:color w:val="000000" w:themeColor="text1"/>
          <w:sz w:val="21"/>
          <w:szCs w:val="21"/>
        </w:rPr>
      </w:pPr>
      <w:r w:rsidRPr="00BF638A">
        <w:rPr>
          <w:rFonts w:ascii="Helvetica" w:hAnsi="Helvetica"/>
          <w:color w:val="000000" w:themeColor="text1"/>
          <w:sz w:val="21"/>
          <w:szCs w:val="21"/>
        </w:rPr>
        <w:fldChar w:fldCharType="begin"/>
      </w:r>
      <w:r w:rsidR="000E0274">
        <w:rPr>
          <w:rFonts w:ascii="Helvetica" w:hAnsi="Helvetica"/>
          <w:color w:val="000000" w:themeColor="text1"/>
          <w:sz w:val="21"/>
          <w:szCs w:val="21"/>
        </w:rPr>
        <w:instrText xml:space="preserve"> INCLUDEPICTURE "C:\\var\\folders\\p6\\6zrnt1fs10j1lk5_8gyvsnvc0000gn\\T\\com.microsoft.Word\\WebArchiveCopyPasteTempFiles\\jTgwCB15_400x400.jpg" \* MERGEFORMAT </w:instrText>
      </w:r>
      <w:r w:rsidR="00000000">
        <w:rPr>
          <w:rFonts w:ascii="Helvetica" w:hAnsi="Helvetica"/>
          <w:color w:val="000000" w:themeColor="text1"/>
          <w:sz w:val="21"/>
          <w:szCs w:val="21"/>
        </w:rPr>
        <w:fldChar w:fldCharType="separate"/>
      </w:r>
      <w:r w:rsidRPr="00BF638A">
        <w:rPr>
          <w:rFonts w:ascii="Helvetica" w:hAnsi="Helvetica"/>
          <w:color w:val="000000" w:themeColor="text1"/>
          <w:sz w:val="21"/>
          <w:szCs w:val="21"/>
        </w:rPr>
        <w:fldChar w:fldCharType="end"/>
      </w:r>
    </w:p>
    <w:p w14:paraId="4A0CD7C1" w14:textId="77777777" w:rsidR="009A5E61" w:rsidRPr="00BF638A" w:rsidRDefault="009A5E61" w:rsidP="00BF638A">
      <w:pPr>
        <w:pStyle w:val="1bodycopy10pt"/>
        <w:jc w:val="center"/>
        <w:rPr>
          <w:rFonts w:ascii="Helvetica" w:hAnsi="Helvetica"/>
          <w:color w:val="000000" w:themeColor="text1"/>
          <w:sz w:val="21"/>
          <w:szCs w:val="21"/>
          <w:lang w:val="en-GB"/>
        </w:rPr>
      </w:pPr>
    </w:p>
    <w:p w14:paraId="69BDE97E" w14:textId="77777777" w:rsidR="009A5E61" w:rsidRPr="00BF638A" w:rsidRDefault="009A5E61" w:rsidP="00BF638A">
      <w:pPr>
        <w:jc w:val="center"/>
        <w:rPr>
          <w:rFonts w:ascii="Helvetica" w:hAnsi="Helvetic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9A5E61" w:rsidRPr="00BF638A" w14:paraId="0FB8F77C" w14:textId="77777777" w:rsidTr="00C156C4">
        <w:tc>
          <w:tcPr>
            <w:tcW w:w="2160" w:type="dxa"/>
            <w:tcBorders>
              <w:top w:val="nil"/>
              <w:bottom w:val="single" w:sz="18" w:space="0" w:color="FFFFFF"/>
            </w:tcBorders>
            <w:shd w:val="clear" w:color="auto" w:fill="D8DFDE"/>
          </w:tcPr>
          <w:p w14:paraId="35B37392" w14:textId="27B26583" w:rsidR="009A5E61" w:rsidRPr="00BF638A" w:rsidRDefault="009A5E61" w:rsidP="000E0274">
            <w:pPr>
              <w:pStyle w:val="1bodycopy11pt"/>
            </w:pPr>
            <w:r w:rsidRPr="00BF638A">
              <w:t>Written by:</w:t>
            </w:r>
          </w:p>
        </w:tc>
        <w:tc>
          <w:tcPr>
            <w:tcW w:w="7560" w:type="dxa"/>
            <w:tcBorders>
              <w:top w:val="nil"/>
              <w:bottom w:val="single" w:sz="18" w:space="0" w:color="FFFFFF"/>
            </w:tcBorders>
            <w:shd w:val="clear" w:color="auto" w:fill="D8DFDE"/>
          </w:tcPr>
          <w:p w14:paraId="406577FD" w14:textId="61D902E0" w:rsidR="009A5E61" w:rsidRPr="000E0274" w:rsidRDefault="000E0274" w:rsidP="000E0274">
            <w:pPr>
              <w:pStyle w:val="1bodycopy11pt"/>
            </w:pPr>
            <w:r w:rsidRPr="000E0274">
              <w:t>WJM</w:t>
            </w:r>
            <w:r w:rsidR="00B838CF">
              <w:t xml:space="preserve">/Reviewed by </w:t>
            </w:r>
            <w:r w:rsidR="00AD26B9">
              <w:t>EG (November 2024)</w:t>
            </w:r>
          </w:p>
        </w:tc>
      </w:tr>
      <w:tr w:rsidR="009A5E61" w:rsidRPr="00BF638A" w14:paraId="6425D1AE" w14:textId="77777777" w:rsidTr="00C156C4">
        <w:tc>
          <w:tcPr>
            <w:tcW w:w="2160" w:type="dxa"/>
            <w:tcBorders>
              <w:top w:val="single" w:sz="18" w:space="0" w:color="FFFFFF"/>
              <w:bottom w:val="single" w:sz="18" w:space="0" w:color="FFFFFF"/>
            </w:tcBorders>
            <w:shd w:val="clear" w:color="auto" w:fill="D8DFDE"/>
          </w:tcPr>
          <w:p w14:paraId="45FB09F7" w14:textId="18B242A0" w:rsidR="009A5E61" w:rsidRPr="00BF638A" w:rsidRDefault="00461CA7" w:rsidP="00BF638A">
            <w:pPr>
              <w:pStyle w:val="1bodycopy10pt"/>
              <w:jc w:val="center"/>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4ABA323B" w14:textId="4727F9F7" w:rsidR="009A5E61" w:rsidRPr="00BF638A" w:rsidRDefault="00461CA7" w:rsidP="000E0274">
            <w:pPr>
              <w:pStyle w:val="1bodycopy11pt"/>
            </w:pPr>
            <w:r>
              <w:t>1</w:t>
            </w:r>
          </w:p>
        </w:tc>
      </w:tr>
    </w:tbl>
    <w:p w14:paraId="01D7EA6D" w14:textId="35BB3C96" w:rsidR="00BF638A" w:rsidRPr="00BF638A" w:rsidRDefault="009A5E61" w:rsidP="000E0274">
      <w:pPr>
        <w:pStyle w:val="NormalWeb"/>
        <w:rPr>
          <w:rFonts w:ascii="Helvetica" w:hAnsi="Helvetica"/>
          <w:b/>
          <w:bCs/>
          <w:sz w:val="20"/>
          <w:szCs w:val="20"/>
        </w:rPr>
      </w:pPr>
      <w:r w:rsidRPr="00BF638A">
        <w:rPr>
          <w:rFonts w:ascii="Helvetica" w:hAnsi="Helvetica"/>
          <w:b/>
          <w:bCs/>
          <w:sz w:val="20"/>
          <w:szCs w:val="20"/>
        </w:rPr>
        <w:t>Whistleblowing Policy</w:t>
      </w:r>
    </w:p>
    <w:p w14:paraId="40C211B7" w14:textId="6B1027F9" w:rsidR="009A5E61" w:rsidRPr="00BF638A" w:rsidRDefault="009A5E61" w:rsidP="00BF638A">
      <w:pPr>
        <w:pStyle w:val="NormalWeb"/>
        <w:jc w:val="both"/>
        <w:rPr>
          <w:rFonts w:ascii="Helvetica" w:hAnsi="Helvetica"/>
        </w:rPr>
      </w:pPr>
      <w:r w:rsidRPr="00BF638A">
        <w:rPr>
          <w:rFonts w:ascii="Helvetica" w:hAnsi="Helvetica"/>
          <w:b/>
          <w:bCs/>
          <w:sz w:val="20"/>
          <w:szCs w:val="20"/>
        </w:rPr>
        <w:t>Purpose and Aims</w:t>
      </w:r>
    </w:p>
    <w:p w14:paraId="702E7544" w14:textId="5FD3E0DA" w:rsidR="009A5E61" w:rsidRPr="00BF638A" w:rsidRDefault="009A5E61" w:rsidP="00BF638A">
      <w:pPr>
        <w:pStyle w:val="NormalWeb"/>
        <w:jc w:val="both"/>
        <w:rPr>
          <w:rFonts w:ascii="Helvetica" w:hAnsi="Helvetica"/>
        </w:rPr>
      </w:pPr>
      <w:r w:rsidRPr="00BF638A">
        <w:rPr>
          <w:rFonts w:ascii="Helvetica" w:hAnsi="Helvetica"/>
          <w:sz w:val="20"/>
          <w:szCs w:val="20"/>
        </w:rPr>
        <w:t xml:space="preserve">The purpose of The Old School </w:t>
      </w:r>
      <w:proofErr w:type="spellStart"/>
      <w:r w:rsidRPr="00BF638A">
        <w:rPr>
          <w:rFonts w:ascii="Helvetica" w:hAnsi="Helvetica"/>
          <w:sz w:val="20"/>
          <w:szCs w:val="20"/>
        </w:rPr>
        <w:t>Henstead</w:t>
      </w:r>
      <w:proofErr w:type="spellEnd"/>
      <w:r w:rsidRPr="00BF638A">
        <w:rPr>
          <w:rFonts w:ascii="Helvetica" w:hAnsi="Helvetica"/>
          <w:sz w:val="20"/>
          <w:szCs w:val="20"/>
        </w:rPr>
        <w:t xml:space="preserve"> whistleblowing policy </w:t>
      </w:r>
      <w:r w:rsidR="00BF638A" w:rsidRPr="00BF638A">
        <w:rPr>
          <w:rFonts w:ascii="Helvetica" w:hAnsi="Helvetica"/>
          <w:sz w:val="20"/>
          <w:szCs w:val="20"/>
        </w:rPr>
        <w:t>is:</w:t>
      </w:r>
    </w:p>
    <w:p w14:paraId="432C4100" w14:textId="05D5E177" w:rsidR="00BF638A" w:rsidRPr="00BF638A" w:rsidRDefault="009A5E61" w:rsidP="00BF638A">
      <w:pPr>
        <w:pStyle w:val="NormalWeb"/>
        <w:numPr>
          <w:ilvl w:val="0"/>
          <w:numId w:val="2"/>
        </w:numPr>
        <w:jc w:val="both"/>
        <w:rPr>
          <w:rFonts w:ascii="Helvetica" w:hAnsi="Helvetica"/>
        </w:rPr>
      </w:pPr>
      <w:r w:rsidRPr="00BF638A">
        <w:rPr>
          <w:rFonts w:ascii="Helvetica" w:hAnsi="Helvetica"/>
          <w:sz w:val="20"/>
          <w:szCs w:val="20"/>
        </w:rPr>
        <w:t>To encourage staff to report suspected wrongdoing as soon as possible, in the knowledge that their concerns will be taken seriously and investigated appropriately, and that their confidentiality will be respected.</w:t>
      </w:r>
    </w:p>
    <w:p w14:paraId="0CC5636B" w14:textId="793739F0" w:rsidR="009A5E61" w:rsidRPr="00BF638A" w:rsidRDefault="009A5E61" w:rsidP="00BF638A">
      <w:pPr>
        <w:pStyle w:val="NormalWeb"/>
        <w:numPr>
          <w:ilvl w:val="0"/>
          <w:numId w:val="2"/>
        </w:numPr>
        <w:jc w:val="both"/>
        <w:rPr>
          <w:rFonts w:ascii="Helvetica" w:hAnsi="Helvetica"/>
        </w:rPr>
      </w:pPr>
      <w:r w:rsidRPr="00BF638A">
        <w:rPr>
          <w:rFonts w:ascii="Helvetica" w:hAnsi="Helvetica"/>
          <w:sz w:val="20"/>
          <w:szCs w:val="20"/>
        </w:rPr>
        <w:t>To provide staff with guidance as to how to raise those concerns.</w:t>
      </w:r>
    </w:p>
    <w:p w14:paraId="0B83B17A" w14:textId="56B6B6BB" w:rsidR="009A5E61" w:rsidRPr="00BF638A" w:rsidRDefault="009A5E61" w:rsidP="00BF638A">
      <w:pPr>
        <w:pStyle w:val="NormalWeb"/>
        <w:numPr>
          <w:ilvl w:val="0"/>
          <w:numId w:val="2"/>
        </w:numPr>
        <w:jc w:val="both"/>
        <w:rPr>
          <w:rFonts w:ascii="Helvetica" w:hAnsi="Helvetica"/>
          <w:sz w:val="20"/>
          <w:szCs w:val="20"/>
        </w:rPr>
      </w:pPr>
      <w:r w:rsidRPr="00BF638A">
        <w:rPr>
          <w:rFonts w:ascii="Helvetica" w:hAnsi="Helvetica"/>
          <w:sz w:val="20"/>
          <w:szCs w:val="20"/>
        </w:rPr>
        <w:t>To reassure staff that they should be able to raise genuine concerns in good faith without fear of reprisals, even if they turn out to be mistaken.</w:t>
      </w:r>
    </w:p>
    <w:p w14:paraId="563C523C" w14:textId="3DB75C1F" w:rsidR="009A5E61" w:rsidRPr="00BF638A" w:rsidRDefault="009A5E61" w:rsidP="00BF638A">
      <w:pPr>
        <w:pStyle w:val="NormalWeb"/>
        <w:numPr>
          <w:ilvl w:val="0"/>
          <w:numId w:val="2"/>
        </w:numPr>
        <w:jc w:val="both"/>
        <w:rPr>
          <w:rFonts w:ascii="Helvetica" w:hAnsi="Helvetica"/>
          <w:sz w:val="20"/>
          <w:szCs w:val="20"/>
        </w:rPr>
      </w:pPr>
      <w:r w:rsidRPr="00BF638A">
        <w:rPr>
          <w:rFonts w:ascii="Helvetica" w:hAnsi="Helvetica"/>
          <w:sz w:val="20"/>
          <w:szCs w:val="20"/>
        </w:rPr>
        <w:t>This policy takes account of the Whistleblowing Arrangements Code of Practice issued by the British Standards Institute and Public Concern at Work and is with regard to Keeping Children Safe in Education DfE September 20</w:t>
      </w:r>
      <w:r w:rsidR="00E0081B">
        <w:rPr>
          <w:rFonts w:ascii="Helvetica" w:hAnsi="Helvetica"/>
          <w:sz w:val="20"/>
          <w:szCs w:val="20"/>
        </w:rPr>
        <w:t>24</w:t>
      </w:r>
      <w:r w:rsidRPr="00BF638A">
        <w:rPr>
          <w:rFonts w:ascii="Helvetica" w:hAnsi="Helvetica"/>
          <w:sz w:val="20"/>
          <w:szCs w:val="20"/>
        </w:rPr>
        <w:t>, Working Together to Safeguard Children DfE 20</w:t>
      </w:r>
      <w:r w:rsidR="00E0081B">
        <w:rPr>
          <w:rFonts w:ascii="Helvetica" w:hAnsi="Helvetica"/>
          <w:sz w:val="20"/>
          <w:szCs w:val="20"/>
        </w:rPr>
        <w:t>23</w:t>
      </w:r>
      <w:r w:rsidRPr="00BF638A">
        <w:rPr>
          <w:rFonts w:ascii="Helvetica" w:hAnsi="Helvetica"/>
          <w:sz w:val="20"/>
          <w:szCs w:val="20"/>
        </w:rPr>
        <w:t xml:space="preserve"> and section 26 of the </w:t>
      </w:r>
      <w:proofErr w:type="gramStart"/>
      <w:r w:rsidRPr="00BF638A">
        <w:rPr>
          <w:rFonts w:ascii="Helvetica" w:hAnsi="Helvetica"/>
          <w:sz w:val="20"/>
          <w:szCs w:val="20"/>
        </w:rPr>
        <w:t>Counter-Terrorism</w:t>
      </w:r>
      <w:proofErr w:type="gramEnd"/>
      <w:r w:rsidRPr="00BF638A">
        <w:rPr>
          <w:rFonts w:ascii="Helvetica" w:hAnsi="Helvetica"/>
          <w:sz w:val="20"/>
          <w:szCs w:val="20"/>
        </w:rPr>
        <w:t xml:space="preserve"> and Security Act 2015.</w:t>
      </w:r>
    </w:p>
    <w:p w14:paraId="632BBB7C" w14:textId="4D1BB02C" w:rsidR="009A5E61" w:rsidRPr="00BF638A" w:rsidRDefault="009A5E61" w:rsidP="00BF638A">
      <w:pPr>
        <w:pStyle w:val="NormalWeb"/>
        <w:jc w:val="both"/>
        <w:rPr>
          <w:rFonts w:ascii="Helvetica" w:hAnsi="Helvetica"/>
          <w:sz w:val="20"/>
          <w:szCs w:val="20"/>
        </w:rPr>
      </w:pPr>
      <w:r w:rsidRPr="00BF638A">
        <w:rPr>
          <w:rFonts w:ascii="Helvetica" w:hAnsi="Helvetica"/>
          <w:b/>
          <w:bCs/>
          <w:sz w:val="20"/>
          <w:szCs w:val="20"/>
        </w:rPr>
        <w:t>Raising a whistleblowing concern</w:t>
      </w:r>
    </w:p>
    <w:p w14:paraId="1FC46F46" w14:textId="7B26EFCF" w:rsidR="009A5E61" w:rsidRPr="00BF638A" w:rsidRDefault="009A5E61" w:rsidP="00BF638A">
      <w:pPr>
        <w:pStyle w:val="NormalWeb"/>
        <w:jc w:val="both"/>
        <w:rPr>
          <w:rFonts w:ascii="Helvetica" w:hAnsi="Helvetica"/>
          <w:sz w:val="20"/>
          <w:szCs w:val="20"/>
        </w:rPr>
      </w:pPr>
      <w:r w:rsidRPr="00BF638A">
        <w:rPr>
          <w:rFonts w:ascii="Helvetica" w:hAnsi="Helvetica"/>
          <w:sz w:val="20"/>
          <w:szCs w:val="20"/>
        </w:rPr>
        <w:t xml:space="preserve">The school hopes that in many cases </w:t>
      </w:r>
      <w:r w:rsidR="008F44BF">
        <w:rPr>
          <w:rFonts w:ascii="Helvetica" w:hAnsi="Helvetica"/>
          <w:sz w:val="20"/>
          <w:szCs w:val="20"/>
        </w:rPr>
        <w:t>s</w:t>
      </w:r>
      <w:r w:rsidRPr="00BF638A">
        <w:rPr>
          <w:rFonts w:ascii="Helvetica" w:hAnsi="Helvetica"/>
          <w:sz w:val="20"/>
          <w:szCs w:val="20"/>
        </w:rPr>
        <w:t>taff will be able to raise any concerns with the Head, speaking in person or putting the matter in writing if they prefer. They may be able to agree a way of resolving a concern quickly and effectively.</w:t>
      </w:r>
      <w:r w:rsidR="00BF638A">
        <w:rPr>
          <w:rFonts w:ascii="Helvetica" w:hAnsi="Helvetica"/>
          <w:sz w:val="20"/>
          <w:szCs w:val="20"/>
        </w:rPr>
        <w:t xml:space="preserve"> </w:t>
      </w:r>
      <w:r w:rsidRPr="00BF638A">
        <w:rPr>
          <w:rFonts w:ascii="Helvetica" w:hAnsi="Helvetica"/>
          <w:sz w:val="20"/>
          <w:szCs w:val="20"/>
        </w:rPr>
        <w:t xml:space="preserve">If they feel the Head has not addressed their </w:t>
      </w:r>
      <w:r w:rsidR="003D46CA" w:rsidRPr="00BF638A">
        <w:rPr>
          <w:rFonts w:ascii="Helvetica" w:hAnsi="Helvetica"/>
          <w:sz w:val="20"/>
          <w:szCs w:val="20"/>
        </w:rPr>
        <w:t>concern or</w:t>
      </w:r>
      <w:r w:rsidRPr="00BF638A">
        <w:rPr>
          <w:rFonts w:ascii="Helvetica" w:hAnsi="Helvetica"/>
          <w:sz w:val="20"/>
          <w:szCs w:val="20"/>
        </w:rPr>
        <w:t xml:space="preserve"> prefer not to raise it for any reason they may refer the matter to the Governing Body.</w:t>
      </w:r>
    </w:p>
    <w:p w14:paraId="4DED8122" w14:textId="1A8B751E" w:rsidR="009A5E61" w:rsidRPr="00BF638A" w:rsidRDefault="009A5E61" w:rsidP="00BF638A">
      <w:pPr>
        <w:pStyle w:val="NormalWeb"/>
        <w:jc w:val="both"/>
        <w:rPr>
          <w:rFonts w:ascii="Helvetica" w:hAnsi="Helvetica"/>
          <w:sz w:val="20"/>
          <w:szCs w:val="20"/>
        </w:rPr>
      </w:pPr>
      <w:r w:rsidRPr="00BF638A">
        <w:rPr>
          <w:rFonts w:ascii="Helvetica" w:hAnsi="Helvetica"/>
          <w:sz w:val="20"/>
          <w:szCs w:val="20"/>
        </w:rPr>
        <w:t>The Hea</w:t>
      </w:r>
      <w:r w:rsidR="008F44BF">
        <w:rPr>
          <w:rFonts w:ascii="Helvetica" w:hAnsi="Helvetica"/>
          <w:sz w:val="20"/>
          <w:szCs w:val="20"/>
        </w:rPr>
        <w:t>d</w:t>
      </w:r>
      <w:r w:rsidRPr="00BF638A">
        <w:rPr>
          <w:rFonts w:ascii="Helvetica" w:hAnsi="Helvetica"/>
          <w:sz w:val="20"/>
          <w:szCs w:val="20"/>
        </w:rPr>
        <w:t xml:space="preserve"> will arrange a meeting with the whistleblower as soon as practicable to discuss their concern</w:t>
      </w:r>
      <w:r w:rsidR="006E1A53">
        <w:rPr>
          <w:rFonts w:ascii="Helvetica" w:hAnsi="Helvetica"/>
          <w:sz w:val="20"/>
          <w:szCs w:val="20"/>
        </w:rPr>
        <w:t xml:space="preserve"> and</w:t>
      </w:r>
      <w:r w:rsidRPr="00BF638A">
        <w:rPr>
          <w:rFonts w:ascii="Helvetica" w:hAnsi="Helvetica"/>
          <w:sz w:val="20"/>
          <w:szCs w:val="20"/>
        </w:rPr>
        <w:t xml:space="preserve"> record sufficient details to enable the matter to be thoroughly investigated. As a minimum </w:t>
      </w:r>
      <w:r w:rsidR="006E1A53">
        <w:rPr>
          <w:rFonts w:ascii="Helvetica" w:hAnsi="Helvetica"/>
          <w:sz w:val="20"/>
          <w:szCs w:val="20"/>
        </w:rPr>
        <w:t xml:space="preserve">the Head </w:t>
      </w:r>
      <w:r w:rsidRPr="00BF638A">
        <w:rPr>
          <w:rFonts w:ascii="Helvetica" w:hAnsi="Helvetica"/>
          <w:sz w:val="20"/>
          <w:szCs w:val="20"/>
        </w:rPr>
        <w:t>will record the name of the employee but also indicated whether the individual wishes his or her identity to remain confidential, if possible and the nature of the concern. In some cases</w:t>
      </w:r>
      <w:r w:rsidR="00542ECA">
        <w:rPr>
          <w:rFonts w:ascii="Helvetica" w:hAnsi="Helvetica"/>
          <w:sz w:val="20"/>
          <w:szCs w:val="20"/>
        </w:rPr>
        <w:t>,</w:t>
      </w:r>
      <w:r w:rsidRPr="00BF638A">
        <w:rPr>
          <w:rFonts w:ascii="Helvetica" w:hAnsi="Helvetica"/>
          <w:sz w:val="20"/>
          <w:szCs w:val="20"/>
        </w:rPr>
        <w:t xml:space="preserve"> it will not be possible to maintain confidentiality and the Head will explain this to the employee. In such instances the employee will have the choice of either withdrawing or agreeing to his/her identity becoming known to enable the concern to be effectively dealt with.</w:t>
      </w:r>
    </w:p>
    <w:p w14:paraId="619E1813" w14:textId="074C70AE" w:rsidR="009A5E61" w:rsidRPr="00BF638A" w:rsidRDefault="009A5E61" w:rsidP="00BF638A">
      <w:pPr>
        <w:pStyle w:val="NormalWeb"/>
        <w:jc w:val="both"/>
        <w:rPr>
          <w:rFonts w:ascii="Helvetica" w:hAnsi="Helvetica"/>
          <w:sz w:val="20"/>
          <w:szCs w:val="20"/>
        </w:rPr>
      </w:pPr>
      <w:r w:rsidRPr="00BF638A">
        <w:rPr>
          <w:rFonts w:ascii="Helvetica" w:hAnsi="Helvetica"/>
          <w:sz w:val="20"/>
          <w:szCs w:val="20"/>
        </w:rPr>
        <w:t>The Hea</w:t>
      </w:r>
      <w:r w:rsidR="00677AC2">
        <w:rPr>
          <w:rFonts w:ascii="Helvetica" w:hAnsi="Helvetica"/>
          <w:sz w:val="20"/>
          <w:szCs w:val="20"/>
        </w:rPr>
        <w:t xml:space="preserve">d </w:t>
      </w:r>
      <w:r w:rsidRPr="00BF638A">
        <w:rPr>
          <w:rFonts w:ascii="Helvetica" w:hAnsi="Helvetica"/>
          <w:sz w:val="20"/>
          <w:szCs w:val="20"/>
        </w:rPr>
        <w:t xml:space="preserve">will take notes and produce a written summary of the concern raised and provide the whistleblower with a copy as soon as practicable after the meeting. The </w:t>
      </w:r>
      <w:r w:rsidR="00677AC2">
        <w:rPr>
          <w:rFonts w:ascii="Helvetica" w:hAnsi="Helvetica"/>
          <w:sz w:val="20"/>
          <w:szCs w:val="20"/>
        </w:rPr>
        <w:t>H</w:t>
      </w:r>
      <w:r w:rsidRPr="00BF638A">
        <w:rPr>
          <w:rFonts w:ascii="Helvetica" w:hAnsi="Helvetica"/>
          <w:sz w:val="20"/>
          <w:szCs w:val="20"/>
        </w:rPr>
        <w:t xml:space="preserve">ead will also aim to give the whistleblower an indication of how </w:t>
      </w:r>
      <w:r w:rsidR="00677AC2">
        <w:rPr>
          <w:rFonts w:ascii="Helvetica" w:hAnsi="Helvetica"/>
          <w:sz w:val="20"/>
          <w:szCs w:val="20"/>
        </w:rPr>
        <w:t>they</w:t>
      </w:r>
      <w:r w:rsidRPr="00BF638A">
        <w:rPr>
          <w:rFonts w:ascii="Helvetica" w:hAnsi="Helvetica"/>
          <w:sz w:val="20"/>
          <w:szCs w:val="20"/>
        </w:rPr>
        <w:t xml:space="preserve"> propose</w:t>
      </w:r>
      <w:r w:rsidR="00542ECA">
        <w:rPr>
          <w:rFonts w:ascii="Helvetica" w:hAnsi="Helvetica"/>
          <w:sz w:val="20"/>
          <w:szCs w:val="20"/>
        </w:rPr>
        <w:t xml:space="preserve"> </w:t>
      </w:r>
      <w:r w:rsidRPr="00BF638A">
        <w:rPr>
          <w:rFonts w:ascii="Helvetica" w:hAnsi="Helvetica"/>
          <w:sz w:val="20"/>
          <w:szCs w:val="20"/>
        </w:rPr>
        <w:t>to deal with the matter.</w:t>
      </w:r>
    </w:p>
    <w:p w14:paraId="090E77A2" w14:textId="7144F63B" w:rsidR="009A5E61" w:rsidRPr="00BF638A" w:rsidRDefault="009A5E61" w:rsidP="00BF638A">
      <w:pPr>
        <w:pStyle w:val="NormalWeb"/>
        <w:jc w:val="both"/>
        <w:rPr>
          <w:rFonts w:ascii="Helvetica" w:hAnsi="Helvetica"/>
        </w:rPr>
      </w:pPr>
      <w:r w:rsidRPr="00BF638A">
        <w:rPr>
          <w:rFonts w:ascii="Helvetica" w:hAnsi="Helvetica"/>
          <w:b/>
          <w:bCs/>
          <w:sz w:val="20"/>
          <w:szCs w:val="20"/>
        </w:rPr>
        <w:lastRenderedPageBreak/>
        <w:t>Whistleblowing, Safeguarding, Child Protection and Prevent Duty</w:t>
      </w:r>
    </w:p>
    <w:p w14:paraId="29776238" w14:textId="7DA72526" w:rsidR="009A5E61" w:rsidRPr="00BF638A" w:rsidRDefault="009A5E61" w:rsidP="00BF638A">
      <w:pPr>
        <w:pStyle w:val="NormalWeb"/>
        <w:jc w:val="both"/>
        <w:rPr>
          <w:rFonts w:ascii="Helvetica" w:hAnsi="Helvetica"/>
        </w:rPr>
      </w:pPr>
      <w:r w:rsidRPr="00BF638A">
        <w:rPr>
          <w:rFonts w:ascii="Helvetica" w:hAnsi="Helvetica"/>
          <w:sz w:val="20"/>
          <w:szCs w:val="20"/>
        </w:rPr>
        <w:t xml:space="preserve">The practice outlined in the school's Safeguarding and Child Protection Policy and Prevent Duty should be strictly adhered to if the matter is in relation to these issues. For whistleblowing, any member of the school community should contact the </w:t>
      </w:r>
      <w:proofErr w:type="gramStart"/>
      <w:r w:rsidRPr="00BF638A">
        <w:rPr>
          <w:rFonts w:ascii="Helvetica" w:hAnsi="Helvetica"/>
          <w:sz w:val="20"/>
          <w:szCs w:val="20"/>
        </w:rPr>
        <w:t>School</w:t>
      </w:r>
      <w:proofErr w:type="gramEnd"/>
      <w:r w:rsidRPr="00BF638A">
        <w:rPr>
          <w:rFonts w:ascii="Helvetica" w:hAnsi="Helvetica"/>
          <w:sz w:val="20"/>
          <w:szCs w:val="20"/>
        </w:rPr>
        <w:t xml:space="preserve"> in the first instance, in line with the Safeguarding Procedures, but is empowered to contact the ISI on 020 7600 0100, or Ofsted on 0300 123 3155 (Monday to Friday from 8.00am to 6.00pm), by email at whistleblowing@ofsted.gov.uk. or in writing to WBHL, Ofsted, Piccadilly Gate, Store Street, Manchester M1 2WD.</w:t>
      </w:r>
    </w:p>
    <w:sectPr w:rsidR="009A5E61" w:rsidRPr="00BF638A" w:rsidSect="00572C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1179C"/>
    <w:multiLevelType w:val="hybridMultilevel"/>
    <w:tmpl w:val="E16C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AF3658"/>
    <w:multiLevelType w:val="multilevel"/>
    <w:tmpl w:val="FFA4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8299240">
    <w:abstractNumId w:val="1"/>
  </w:num>
  <w:num w:numId="2" w16cid:durableId="34166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61"/>
    <w:rsid w:val="000E0274"/>
    <w:rsid w:val="003D46CA"/>
    <w:rsid w:val="003E533C"/>
    <w:rsid w:val="00454D98"/>
    <w:rsid w:val="00461CA7"/>
    <w:rsid w:val="00483107"/>
    <w:rsid w:val="00542ECA"/>
    <w:rsid w:val="00572C2A"/>
    <w:rsid w:val="00677AC2"/>
    <w:rsid w:val="006E1A53"/>
    <w:rsid w:val="008F44BF"/>
    <w:rsid w:val="009746A4"/>
    <w:rsid w:val="009A5E61"/>
    <w:rsid w:val="00AD26B9"/>
    <w:rsid w:val="00B838CF"/>
    <w:rsid w:val="00BF638A"/>
    <w:rsid w:val="00E0081B"/>
    <w:rsid w:val="00F4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90BA"/>
  <w15:chartTrackingRefBased/>
  <w15:docId w15:val="{6C7106E9-D0E8-D04C-B57D-4BF8D567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9A5E61"/>
    <w:pPr>
      <w:spacing w:after="120"/>
    </w:pPr>
    <w:rPr>
      <w:rFonts w:ascii="Arial" w:eastAsia="MS Mincho" w:hAnsi="Arial" w:cs="Times New Roman"/>
      <w:sz w:val="20"/>
      <w:lang w:val="en-US"/>
    </w:rPr>
  </w:style>
  <w:style w:type="character" w:customStyle="1" w:styleId="1bodycopy10ptChar">
    <w:name w:val="1 body copy 10pt Char"/>
    <w:link w:val="1bodycopy10pt"/>
    <w:rsid w:val="009A5E61"/>
    <w:rPr>
      <w:rFonts w:ascii="Arial" w:eastAsia="MS Mincho" w:hAnsi="Arial" w:cs="Times New Roman"/>
      <w:sz w:val="20"/>
      <w:lang w:val="en-US"/>
    </w:rPr>
  </w:style>
  <w:style w:type="paragraph" w:customStyle="1" w:styleId="6Abstract">
    <w:name w:val="6 Abstract"/>
    <w:qFormat/>
    <w:rsid w:val="009A5E61"/>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0E0274"/>
    <w:pPr>
      <w:spacing w:after="120"/>
      <w:ind w:right="850"/>
    </w:pPr>
    <w:rPr>
      <w:rFonts w:ascii="Helvetica" w:eastAsia="MS Mincho" w:hAnsi="Helvetica" w:cs="Arial"/>
      <w:bCs/>
      <w:color w:val="000000" w:themeColor="text1"/>
      <w:sz w:val="21"/>
      <w:szCs w:val="21"/>
    </w:rPr>
  </w:style>
  <w:style w:type="paragraph" w:customStyle="1" w:styleId="3Policytitle">
    <w:name w:val="3 Policy title"/>
    <w:basedOn w:val="Normal"/>
    <w:qFormat/>
    <w:rsid w:val="009A5E61"/>
    <w:pPr>
      <w:spacing w:after="120"/>
    </w:pPr>
    <w:rPr>
      <w:rFonts w:ascii="Arial" w:eastAsia="MS Mincho" w:hAnsi="Arial" w:cs="Times New Roman"/>
      <w:b/>
      <w:sz w:val="72"/>
      <w:lang w:val="en-US"/>
    </w:rPr>
  </w:style>
  <w:style w:type="paragraph" w:styleId="NormalWeb">
    <w:name w:val="Normal (Web)"/>
    <w:basedOn w:val="Normal"/>
    <w:uiPriority w:val="99"/>
    <w:unhideWhenUsed/>
    <w:rsid w:val="009A5E6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00308">
      <w:bodyDiv w:val="1"/>
      <w:marLeft w:val="0"/>
      <w:marRight w:val="0"/>
      <w:marTop w:val="0"/>
      <w:marBottom w:val="0"/>
      <w:divBdr>
        <w:top w:val="none" w:sz="0" w:space="0" w:color="auto"/>
        <w:left w:val="none" w:sz="0" w:space="0" w:color="auto"/>
        <w:bottom w:val="none" w:sz="0" w:space="0" w:color="auto"/>
        <w:right w:val="none" w:sz="0" w:space="0" w:color="auto"/>
      </w:divBdr>
      <w:divsChild>
        <w:div w:id="465045094">
          <w:marLeft w:val="0"/>
          <w:marRight w:val="0"/>
          <w:marTop w:val="0"/>
          <w:marBottom w:val="0"/>
          <w:divBdr>
            <w:top w:val="none" w:sz="0" w:space="0" w:color="auto"/>
            <w:left w:val="none" w:sz="0" w:space="0" w:color="auto"/>
            <w:bottom w:val="none" w:sz="0" w:space="0" w:color="auto"/>
            <w:right w:val="none" w:sz="0" w:space="0" w:color="auto"/>
          </w:divBdr>
          <w:divsChild>
            <w:div w:id="1705713056">
              <w:marLeft w:val="0"/>
              <w:marRight w:val="0"/>
              <w:marTop w:val="0"/>
              <w:marBottom w:val="0"/>
              <w:divBdr>
                <w:top w:val="none" w:sz="0" w:space="0" w:color="auto"/>
                <w:left w:val="none" w:sz="0" w:space="0" w:color="auto"/>
                <w:bottom w:val="none" w:sz="0" w:space="0" w:color="auto"/>
                <w:right w:val="none" w:sz="0" w:space="0" w:color="auto"/>
              </w:divBdr>
              <w:divsChild>
                <w:div w:id="227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5732">
          <w:marLeft w:val="0"/>
          <w:marRight w:val="0"/>
          <w:marTop w:val="0"/>
          <w:marBottom w:val="0"/>
          <w:divBdr>
            <w:top w:val="none" w:sz="0" w:space="0" w:color="auto"/>
            <w:left w:val="none" w:sz="0" w:space="0" w:color="auto"/>
            <w:bottom w:val="none" w:sz="0" w:space="0" w:color="auto"/>
            <w:right w:val="none" w:sz="0" w:space="0" w:color="auto"/>
          </w:divBdr>
          <w:divsChild>
            <w:div w:id="1196850368">
              <w:marLeft w:val="0"/>
              <w:marRight w:val="0"/>
              <w:marTop w:val="0"/>
              <w:marBottom w:val="0"/>
              <w:divBdr>
                <w:top w:val="none" w:sz="0" w:space="0" w:color="auto"/>
                <w:left w:val="none" w:sz="0" w:space="0" w:color="auto"/>
                <w:bottom w:val="none" w:sz="0" w:space="0" w:color="auto"/>
                <w:right w:val="none" w:sz="0" w:space="0" w:color="auto"/>
              </w:divBdr>
              <w:divsChild>
                <w:div w:id="375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Hunt</dc:creator>
  <cp:keywords/>
  <dc:description/>
  <cp:lastModifiedBy>Elaine Glendinning</cp:lastModifiedBy>
  <cp:revision>6</cp:revision>
  <dcterms:created xsi:type="dcterms:W3CDTF">2023-09-07T10:50:00Z</dcterms:created>
  <dcterms:modified xsi:type="dcterms:W3CDTF">2024-11-08T15:39:00Z</dcterms:modified>
</cp:coreProperties>
</file>